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3076D9" w:rsidP="000579C9">
      <w:pPr>
        <w:ind w:left="6300" w:firstLine="180"/>
        <w:jc w:val="right"/>
        <w:rPr>
          <w:bCs/>
        </w:rPr>
      </w:pPr>
      <w:r>
        <w:rPr>
          <w:bCs/>
        </w:rPr>
        <w:t>2014.gada 16</w:t>
      </w:r>
      <w:r w:rsidR="000579C9" w:rsidRPr="00B46E2E">
        <w:rPr>
          <w:bCs/>
        </w:rPr>
        <w:t>.</w:t>
      </w:r>
      <w:r>
        <w:rPr>
          <w:bCs/>
        </w:rPr>
        <w:t>okto</w:t>
      </w:r>
      <w:r w:rsidR="00246616" w:rsidRPr="00B46E2E">
        <w:rPr>
          <w:bCs/>
        </w:rPr>
        <w:t>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3076D9" w:rsidP="000579C9">
      <w:pPr>
        <w:pStyle w:val="P"/>
        <w:spacing w:before="0" w:after="0"/>
        <w:jc w:val="center"/>
        <w:rPr>
          <w:rFonts w:ascii="Times New Roman" w:hAnsi="Times New Roman"/>
          <w:b/>
          <w:sz w:val="24"/>
        </w:rPr>
      </w:pPr>
      <w:r>
        <w:rPr>
          <w:rFonts w:ascii="Times New Roman" w:hAnsi="Times New Roman"/>
          <w:b/>
          <w:sz w:val="24"/>
        </w:rPr>
        <w:t>ID Nr. KNP/2014/84</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46E2E" w:rsidRDefault="000579C9" w:rsidP="000579C9">
      <w:pPr>
        <w:jc w:val="center"/>
        <w:rPr>
          <w:b/>
        </w:rPr>
      </w:pPr>
      <w:r w:rsidRPr="00B46E2E">
        <w:rPr>
          <w:b/>
        </w:rPr>
        <w:t>„</w:t>
      </w:r>
      <w:r w:rsidR="003076D9" w:rsidRPr="003076D9">
        <w:rPr>
          <w:b/>
          <w:bCs/>
        </w:rPr>
        <w:t>Kuldīgas novada p/a “Kuldīgas Galvenā bibliotēka” izstāžu organizēšana Mākslas namā</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003076D9">
        <w:rPr>
          <w:rFonts w:ascii="Times New Roman" w:hAnsi="Times New Roman" w:cs="Times New Roman"/>
          <w:i w:val="0"/>
          <w:sz w:val="24"/>
          <w:szCs w:val="24"/>
        </w:rPr>
        <w:t>: KNP/2014/84</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3076D9" w:rsidP="0084066A">
            <w:pPr>
              <w:widowControl w:val="0"/>
              <w:ind w:right="-1"/>
            </w:pPr>
            <w:r>
              <w:t>Kuldīgas novada p/a „Kuldīgas Galvenā bibliotēka”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3076D9" w:rsidP="0084066A">
            <w:pPr>
              <w:widowControl w:val="0"/>
              <w:ind w:right="-1"/>
            </w:pPr>
            <w:r>
              <w:t>1905.gada iela 6,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3076D9" w:rsidP="0084066A">
            <w:pPr>
              <w:widowControl w:val="0"/>
              <w:ind w:right="-1"/>
            </w:pPr>
            <w:r w:rsidRPr="003076D9">
              <w:rPr>
                <w:spacing w:val="-14"/>
              </w:rPr>
              <w:t>63350279</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D75922" w:rsidP="0084066A">
            <w:pPr>
              <w:widowControl w:val="0"/>
              <w:ind w:right="-1"/>
            </w:pPr>
            <w:hyperlink r:id="rId6" w:history="1">
              <w:r w:rsidR="003076D9" w:rsidRPr="003076D9">
                <w:rPr>
                  <w:rStyle w:val="Hyperlink"/>
                </w:rPr>
                <w:t>Laima.ostele@kuldiga.lv</w:t>
              </w:r>
            </w:hyperlink>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B46E2E">
        <w:rPr>
          <w:rFonts w:ascii="Times New Roman" w:hAnsi="Times New Roman" w:cs="Times New Roman"/>
          <w:i w:val="0"/>
          <w:sz w:val="24"/>
          <w:szCs w:val="24"/>
        </w:rPr>
        <w:t xml:space="preserve">Iepirkuma </w:t>
      </w:r>
      <w:bookmarkEnd w:id="8"/>
      <w:bookmarkEnd w:id="9"/>
      <w:r w:rsidRPr="00B46E2E">
        <w:rPr>
          <w:rFonts w:ascii="Times New Roman" w:hAnsi="Times New Roman" w:cs="Times New Roman"/>
          <w:i w:val="0"/>
          <w:sz w:val="24"/>
          <w:szCs w:val="24"/>
        </w:rPr>
        <w:t>dokumentācijas pieejamība</w:t>
      </w:r>
    </w:p>
    <w:p w:rsidR="000579C9" w:rsidRPr="00B46E2E" w:rsidRDefault="000579C9" w:rsidP="000579C9">
      <w:pPr>
        <w:numPr>
          <w:ilvl w:val="2"/>
          <w:numId w:val="4"/>
        </w:numPr>
        <w:jc w:val="both"/>
      </w:pPr>
      <w:r w:rsidRPr="00B46E2E">
        <w:t xml:space="preserve">Iepirkuma procedūras dokumenti ir bez maksas un brīvi pieejami Kuldīgas novada pašvaldības mājas lapā internetā </w:t>
      </w:r>
      <w:hyperlink r:id="rId7" w:history="1">
        <w:r w:rsidRPr="00B46E2E">
          <w:rPr>
            <w:rStyle w:val="Hyperlink"/>
            <w:rFonts w:eastAsia="Calibri"/>
          </w:rPr>
          <w:t>www.kuldiga.lv</w:t>
        </w:r>
      </w:hyperlink>
      <w:r w:rsidRPr="00B46E2E">
        <w:t xml:space="preserve"> sadaļā Pašvaldības iepirkumi.</w:t>
      </w:r>
    </w:p>
    <w:p w:rsidR="000579C9" w:rsidRPr="00D75922" w:rsidRDefault="000579C9" w:rsidP="000579C9">
      <w:pPr>
        <w:numPr>
          <w:ilvl w:val="2"/>
          <w:numId w:val="4"/>
        </w:numPr>
        <w:jc w:val="both"/>
      </w:pPr>
      <w:r w:rsidRPr="00B46E2E">
        <w:t>Ar iepirkuma procedūras dokumentiem ieinteresētajiem Pretendentiem ir iespējams iepazīties arī uz vietas, Kuldīgas novada pašvaldībā, Baznīcas ielā 1</w:t>
      </w:r>
      <w:r w:rsidRPr="00D75922">
        <w:t xml:space="preserve">, Kuldīgā, līdz </w:t>
      </w:r>
      <w:r w:rsidRPr="00D75922">
        <w:rPr>
          <w:b/>
        </w:rPr>
        <w:t xml:space="preserve">2014.gada </w:t>
      </w:r>
      <w:r w:rsidR="00D75922" w:rsidRPr="00D75922">
        <w:rPr>
          <w:b/>
        </w:rPr>
        <w:t>30</w:t>
      </w:r>
      <w:r w:rsidR="00AE21E5" w:rsidRPr="00D75922">
        <w:rPr>
          <w:b/>
        </w:rPr>
        <w:t>.oktobrim</w:t>
      </w:r>
      <w:r w:rsidRPr="00D75922">
        <w:t xml:space="preserve"> plkst. 13:00.</w:t>
      </w:r>
    </w:p>
    <w:p w:rsidR="000579C9" w:rsidRPr="00B46E2E" w:rsidRDefault="000579C9" w:rsidP="000579C9">
      <w:pPr>
        <w:numPr>
          <w:ilvl w:val="2"/>
          <w:numId w:val="4"/>
        </w:numPr>
        <w:jc w:val="both"/>
      </w:pPr>
      <w:r w:rsidRPr="00B46E2E">
        <w:t>Iepirkuma komisija nav atbildīga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3076D9" w:rsidRPr="003076D9">
        <w:rPr>
          <w:b/>
          <w:bCs/>
        </w:rPr>
        <w:t>Kuldīgas novada p/a “Kuldīgas Galvenā bibliotēka” izstāžu organizēšana Mākslas namā</w:t>
      </w:r>
      <w:r w:rsidRPr="00B46E2E">
        <w:t>”.</w:t>
      </w:r>
    </w:p>
    <w:p w:rsidR="000579C9" w:rsidRPr="00B46E2E" w:rsidRDefault="000579C9" w:rsidP="000579C9">
      <w:pPr>
        <w:numPr>
          <w:ilvl w:val="2"/>
          <w:numId w:val="4"/>
        </w:numPr>
        <w:jc w:val="both"/>
      </w:pPr>
      <w:r w:rsidRPr="00B46E2E">
        <w:t>Paredzamais līguma izpildes termiņš –</w:t>
      </w:r>
      <w:r w:rsidRPr="00B46E2E">
        <w:rPr>
          <w:b/>
        </w:rPr>
        <w:t xml:space="preserve"> </w:t>
      </w:r>
      <w:r w:rsidR="003076D9">
        <w:rPr>
          <w:b/>
        </w:rPr>
        <w:t>līdz 2015.gada 31.decembrim</w:t>
      </w:r>
      <w:r w:rsidRPr="00B46E2E">
        <w:rPr>
          <w:b/>
        </w:rPr>
        <w:t xml:space="preserve">.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B46E2E" w:rsidRDefault="000579C9" w:rsidP="000579C9">
      <w:pPr>
        <w:numPr>
          <w:ilvl w:val="2"/>
          <w:numId w:val="4"/>
        </w:numPr>
        <w:jc w:val="both"/>
      </w:pPr>
      <w:r w:rsidRPr="00B46E2E">
        <w:t xml:space="preserve">Pretendentu </w:t>
      </w:r>
      <w:r w:rsidRPr="00D75922">
        <w:t xml:space="preserve">piedāvājumi iepirkumam jāiesniedz personīgi vai jānosūta pa pastu līdz </w:t>
      </w:r>
      <w:r w:rsidRPr="00D75922">
        <w:rPr>
          <w:b/>
        </w:rPr>
        <w:t xml:space="preserve">2014.gada </w:t>
      </w:r>
      <w:r w:rsidR="00D75922" w:rsidRPr="00D75922">
        <w:rPr>
          <w:b/>
        </w:rPr>
        <w:t>30</w:t>
      </w:r>
      <w:r w:rsidR="00AE21E5" w:rsidRPr="00D75922">
        <w:rPr>
          <w:b/>
        </w:rPr>
        <w:t>.oktobrim</w:t>
      </w:r>
      <w:r w:rsidRPr="00D75922">
        <w:rPr>
          <w:b/>
        </w:rPr>
        <w:t xml:space="preserve"> plkst.13:00</w:t>
      </w:r>
      <w:r w:rsidRPr="00B46E2E">
        <w:rPr>
          <w:b/>
        </w:rPr>
        <w:t xml:space="preserve"> Kuldīgas novada pašvaldībā – 1.stāvā, Baznīcas ielā 1, Kuldīgā, LV-3301.</w:t>
      </w:r>
      <w:r w:rsidRPr="00B46E2E">
        <w:t xml:space="preserve"> Apmeklētāju pieņemšanas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A07BF5" w:rsidRPr="00A07BF5">
        <w:rPr>
          <w:b/>
          <w:bCs/>
        </w:rPr>
        <w:t>Kuldīgas novada p/a “Kuldīgas Galvenā bibliotēka” izstāžu organizēšana Mākslas namā</w:t>
      </w:r>
      <w:r w:rsidR="00A07BF5">
        <w:rPr>
          <w:b/>
        </w:rPr>
        <w:t>”, ID Nr. KNP/2014/84</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A07BF5">
      <w:pPr>
        <w:numPr>
          <w:ilvl w:val="1"/>
          <w:numId w:val="4"/>
        </w:numPr>
        <w:jc w:val="both"/>
      </w:pPr>
      <w:r w:rsidRPr="00B46E2E">
        <w:t>Iepirkuma priekšmets ir „</w:t>
      </w:r>
      <w:r w:rsidR="00A07BF5" w:rsidRPr="00A07BF5">
        <w:rPr>
          <w:b/>
          <w:bCs/>
        </w:rPr>
        <w:t>Kuldīgas novada p/a “Kuldīgas Galvenā bibliotēka” izstāžu organizēšana Mākslas namā</w:t>
      </w:r>
      <w:r w:rsidRPr="00B46E2E">
        <w:t>”, kas jāveic saskaņā ar šī Nolikuma un Tehniskās specifikācijas (</w:t>
      </w:r>
      <w:r w:rsidRPr="009D17A5">
        <w:t xml:space="preserve">Nolikuma </w:t>
      </w:r>
      <w:r w:rsidR="009D17A5" w:rsidRPr="009D17A5">
        <w:t>3</w:t>
      </w:r>
      <w:r w:rsidRPr="009D17A5">
        <w:t>.pielikums) prasībām</w:t>
      </w:r>
      <w:r w:rsidRPr="00B46E2E">
        <w:t>.</w:t>
      </w:r>
    </w:p>
    <w:p w:rsidR="000579C9" w:rsidRPr="00B46E2E" w:rsidRDefault="000579C9" w:rsidP="000579C9">
      <w:pPr>
        <w:numPr>
          <w:ilvl w:val="1"/>
          <w:numId w:val="4"/>
        </w:numPr>
        <w:ind w:left="720"/>
        <w:jc w:val="both"/>
      </w:pPr>
      <w:r w:rsidRPr="00B46E2E">
        <w:t xml:space="preserve">Iepirkuma procedūras uzvarētāja pienākums ir </w:t>
      </w:r>
      <w:r w:rsidR="007E10B8">
        <w:rPr>
          <w:b/>
        </w:rPr>
        <w:t>organizēt izstādes</w:t>
      </w:r>
      <w:r w:rsidRPr="00B46E2E">
        <w:t xml:space="preserve"> nevainojamā kvalitātē a</w:t>
      </w:r>
      <w:r w:rsidR="009D17A5">
        <w:t>tbilstoši Nolikuma 3</w:t>
      </w:r>
      <w:r w:rsidRPr="00B46E2E">
        <w:t>.pielikumā (Tehniskās speci</w:t>
      </w:r>
      <w:r w:rsidR="00EA3F2B">
        <w:t>fikācija) noteiktajām prasībām.</w:t>
      </w: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EA3F2B" w:rsidRPr="00D75922" w:rsidRDefault="000579C9" w:rsidP="000579C9">
      <w:pPr>
        <w:numPr>
          <w:ilvl w:val="2"/>
          <w:numId w:val="4"/>
        </w:numPr>
        <w:autoSpaceDE w:val="0"/>
        <w:autoSpaceDN w:val="0"/>
        <w:adjustRightInd w:val="0"/>
        <w:ind w:left="993"/>
        <w:jc w:val="both"/>
      </w:pPr>
      <w:r w:rsidRPr="00B46E2E">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B46E2E"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0579C9" w:rsidRPr="00B46E2E" w:rsidRDefault="000579C9" w:rsidP="000579C9">
      <w:pPr>
        <w:pStyle w:val="Default"/>
        <w:numPr>
          <w:ilvl w:val="2"/>
          <w:numId w:val="4"/>
        </w:numPr>
        <w:jc w:val="both"/>
        <w:rPr>
          <w:color w:val="auto"/>
        </w:rPr>
      </w:pPr>
      <w:r w:rsidRPr="00B46E2E">
        <w:lastRenderedPageBreak/>
        <w:t xml:space="preserve">Pretendentam iepriekšējo trīs gadu (2011., 2012., 2013.) periodā vai īsākā laika periodā, ja pretendents savu darbību uzsācis vēlāk, </w:t>
      </w:r>
      <w:r w:rsidRPr="00B46E2E">
        <w:rPr>
          <w:b/>
        </w:rPr>
        <w:t xml:space="preserve">ir pieredze vismaz </w:t>
      </w:r>
      <w:r w:rsidR="00EA3F2B">
        <w:rPr>
          <w:b/>
        </w:rPr>
        <w:t>vienas izstādes organizēšanā</w:t>
      </w:r>
      <w:r w:rsidR="00B46E2E" w:rsidRPr="00B46E2E">
        <w:rPr>
          <w:b/>
        </w:rPr>
        <w:t>.</w:t>
      </w:r>
    </w:p>
    <w:p w:rsidR="00055D34" w:rsidRDefault="00DD5746" w:rsidP="000579C9">
      <w:pPr>
        <w:ind w:left="720"/>
        <w:jc w:val="both"/>
        <w:rPr>
          <w:bCs/>
        </w:rPr>
      </w:pPr>
      <w:bookmarkStart w:id="24" w:name="_Toc59334737"/>
      <w:bookmarkStart w:id="25" w:name="_Toc61422143"/>
      <w:r w:rsidRPr="00B46E2E">
        <w:rPr>
          <w:b/>
        </w:rPr>
        <w:t>Jāpievieno s</w:t>
      </w:r>
      <w:r w:rsidR="000579C9" w:rsidRPr="00B46E2E">
        <w:rPr>
          <w:b/>
        </w:rPr>
        <w:t>araksts</w:t>
      </w:r>
      <w:r w:rsidR="000579C9" w:rsidRPr="00B46E2E">
        <w:t xml:space="preserve"> </w:t>
      </w:r>
      <w:r w:rsidR="009D17A5">
        <w:rPr>
          <w:iCs/>
        </w:rPr>
        <w:t>(2</w:t>
      </w:r>
      <w:r w:rsidR="000579C9" w:rsidRPr="00B46E2E">
        <w:rPr>
          <w:iCs/>
        </w:rPr>
        <w:t xml:space="preserve">.pielikums) </w:t>
      </w:r>
      <w:r w:rsidR="000579C9" w:rsidRPr="00B46E2E">
        <w:t xml:space="preserve">ar iepirkuma </w:t>
      </w:r>
      <w:r w:rsidR="00B46E2E" w:rsidRPr="00B46E2E">
        <w:t>p</w:t>
      </w:r>
      <w:r w:rsidR="00EA3F2B">
        <w:t>riekšmeta veidam līdzīgu pakalpojumu sniegšanu</w:t>
      </w:r>
      <w:r w:rsidR="000579C9" w:rsidRPr="00B46E2E">
        <w:rPr>
          <w:bCs/>
        </w:rPr>
        <w:t>, norādot pasūtītāj</w:t>
      </w:r>
      <w:r w:rsidR="00055D34">
        <w:rPr>
          <w:bCs/>
        </w:rPr>
        <w:t>u, objekta adresi, līguma summu.</w:t>
      </w:r>
    </w:p>
    <w:p w:rsidR="00055D34" w:rsidRPr="00055D34" w:rsidRDefault="00055D34" w:rsidP="00055D34">
      <w:pPr>
        <w:pStyle w:val="ListParagraph"/>
        <w:numPr>
          <w:ilvl w:val="2"/>
          <w:numId w:val="4"/>
        </w:numPr>
        <w:jc w:val="both"/>
        <w:rPr>
          <w:bCs/>
        </w:rPr>
      </w:pPr>
      <w:r>
        <w:rPr>
          <w:bCs/>
        </w:rPr>
        <w:t>Pretendentam pirms piedāvājuma iesniegšanas ieteicams apsekot izstāžu norises vietu dabā.</w:t>
      </w:r>
    </w:p>
    <w:p w:rsidR="000579C9" w:rsidRPr="00B46E2E" w:rsidRDefault="000579C9" w:rsidP="000579C9">
      <w:pPr>
        <w:pStyle w:val="Default"/>
        <w:ind w:left="720"/>
        <w:jc w:val="both"/>
        <w:rPr>
          <w:color w:val="auto"/>
        </w:rPr>
      </w:pPr>
    </w:p>
    <w:p w:rsidR="000579C9" w:rsidRPr="00D75922" w:rsidRDefault="00EA3F2B" w:rsidP="000579C9">
      <w:pPr>
        <w:pStyle w:val="Default"/>
        <w:numPr>
          <w:ilvl w:val="1"/>
          <w:numId w:val="4"/>
        </w:numPr>
        <w:jc w:val="both"/>
        <w:rPr>
          <w:b/>
          <w:color w:val="auto"/>
        </w:rPr>
      </w:pPr>
      <w:r w:rsidRPr="00D75922">
        <w:rPr>
          <w:b/>
        </w:rPr>
        <w:t>F</w:t>
      </w:r>
      <w:r w:rsidR="000579C9" w:rsidRPr="00D75922">
        <w:rPr>
          <w:b/>
        </w:rPr>
        <w:t>inanšu piedāvājuma dokumenti</w:t>
      </w:r>
    </w:p>
    <w:p w:rsidR="000579C9" w:rsidRPr="00D75922"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D75922">
        <w:rPr>
          <w:rFonts w:ascii="Times New Roman" w:hAnsi="Times New Roman"/>
          <w:b w:val="0"/>
          <w:color w:val="auto"/>
        </w:rPr>
        <w:t>Finanšu piedāvājumu pretendents sagatavo saskaņā ar Nolikuma pielikumā pievienoto tehnisko specifikāciju (</w:t>
      </w:r>
      <w:r w:rsidR="009D17A5" w:rsidRPr="00D75922">
        <w:rPr>
          <w:rFonts w:ascii="Times New Roman" w:hAnsi="Times New Roman"/>
          <w:b w:val="0"/>
          <w:color w:val="auto"/>
        </w:rPr>
        <w:t>3</w:t>
      </w:r>
      <w:r w:rsidRPr="00D75922">
        <w:rPr>
          <w:rFonts w:ascii="Times New Roman" w:hAnsi="Times New Roman"/>
          <w:b w:val="0"/>
          <w:color w:val="auto"/>
        </w:rPr>
        <w:t>.pielikums) un finanšu piedāvājuma formu (</w:t>
      </w:r>
      <w:r w:rsidR="009D17A5" w:rsidRPr="00D75922">
        <w:rPr>
          <w:rFonts w:ascii="Times New Roman" w:hAnsi="Times New Roman"/>
          <w:b w:val="0"/>
          <w:color w:val="auto"/>
        </w:rPr>
        <w:t>1</w:t>
      </w:r>
      <w:r w:rsidRPr="00D75922">
        <w:rPr>
          <w:rFonts w:ascii="Times New Roman" w:hAnsi="Times New Roman"/>
          <w:b w:val="0"/>
          <w:color w:val="auto"/>
        </w:rPr>
        <w:t xml:space="preserve">.pielikums). </w:t>
      </w:r>
    </w:p>
    <w:p w:rsidR="000579C9" w:rsidRPr="00D75922" w:rsidRDefault="000579C9" w:rsidP="000579C9">
      <w:pPr>
        <w:widowControl w:val="0"/>
        <w:numPr>
          <w:ilvl w:val="2"/>
          <w:numId w:val="4"/>
        </w:numPr>
        <w:ind w:right="-2"/>
        <w:jc w:val="both"/>
        <w:outlineLvl w:val="2"/>
      </w:pPr>
      <w:r w:rsidRPr="00D75922">
        <w:rPr>
          <w:rFonts w:eastAsia="Calibri"/>
          <w:bCs/>
        </w:rPr>
        <w:t>Fi</w:t>
      </w:r>
      <w:r w:rsidR="007E10B8" w:rsidRPr="00D75922">
        <w:rPr>
          <w:rFonts w:eastAsia="Calibri"/>
          <w:bCs/>
        </w:rPr>
        <w:t xml:space="preserve">nanšu piedāvājumā jānorāda </w:t>
      </w:r>
      <w:r w:rsidR="00D75922">
        <w:rPr>
          <w:rFonts w:eastAsia="Calibri"/>
          <w:bCs/>
        </w:rPr>
        <w:t xml:space="preserve">pakalpojuma </w:t>
      </w:r>
      <w:r w:rsidR="007E10B8" w:rsidRPr="00D75922">
        <w:rPr>
          <w:rFonts w:eastAsia="Calibri"/>
          <w:bCs/>
        </w:rPr>
        <w:t>cena par 1 (vienu) stundu.</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B46E2E"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atvērti </w:t>
      </w:r>
      <w:r w:rsidRPr="00B46E2E">
        <w:rPr>
          <w:rFonts w:ascii="Times New Roman" w:hAnsi="Times New Roman" w:cs="Times New Roman"/>
          <w:i w:val="0"/>
          <w:sz w:val="24"/>
          <w:szCs w:val="24"/>
        </w:rPr>
        <w:t xml:space="preserve">2014. </w:t>
      </w:r>
      <w:r w:rsidRPr="00D75922">
        <w:rPr>
          <w:rFonts w:ascii="Times New Roman" w:hAnsi="Times New Roman" w:cs="Times New Roman"/>
          <w:i w:val="0"/>
          <w:sz w:val="24"/>
          <w:szCs w:val="24"/>
        </w:rPr>
        <w:t xml:space="preserve">gada </w:t>
      </w:r>
      <w:r w:rsidR="00D75922" w:rsidRPr="00D75922">
        <w:rPr>
          <w:rFonts w:ascii="Times New Roman" w:hAnsi="Times New Roman" w:cs="Times New Roman"/>
          <w:i w:val="0"/>
          <w:sz w:val="24"/>
          <w:szCs w:val="24"/>
        </w:rPr>
        <w:t>30</w:t>
      </w:r>
      <w:r w:rsidR="00AE21E5" w:rsidRPr="00D75922">
        <w:rPr>
          <w:rFonts w:ascii="Times New Roman" w:hAnsi="Times New Roman" w:cs="Times New Roman"/>
          <w:i w:val="0"/>
          <w:sz w:val="24"/>
          <w:szCs w:val="24"/>
        </w:rPr>
        <w:t>.oktobrī</w:t>
      </w:r>
      <w:r w:rsidRPr="00D75922">
        <w:rPr>
          <w:rFonts w:ascii="Times New Roman" w:hAnsi="Times New Roman" w:cs="Times New Roman"/>
          <w:i w:val="0"/>
          <w:sz w:val="24"/>
          <w:szCs w:val="24"/>
        </w:rPr>
        <w:t xml:space="preserve"> plkst. 13:00</w:t>
      </w:r>
      <w:r w:rsidRPr="00D75922">
        <w:rPr>
          <w:rFonts w:ascii="Times New Roman" w:hAnsi="Times New Roman" w:cs="Times New Roman"/>
          <w:b w:val="0"/>
          <w:i w:val="0"/>
          <w:sz w:val="24"/>
          <w:szCs w:val="24"/>
        </w:rPr>
        <w:t xml:space="preserve"> Kuldīgas</w:t>
      </w:r>
      <w:r w:rsidRPr="00B46E2E">
        <w:rPr>
          <w:rFonts w:ascii="Times New Roman" w:hAnsi="Times New Roman" w:cs="Times New Roman"/>
          <w:b w:val="0"/>
          <w:i w:val="0"/>
          <w:sz w:val="24"/>
          <w:szCs w:val="24"/>
        </w:rPr>
        <w:t xml:space="preserve"> novada Domes Mazajā zālē, 1. stāvā, Baznīcas ielā 1, Kuldīgā.</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Piedāvājumu atvēršanas sanāksme ir atklāta. </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lastRenderedPageBreak/>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9D17A5" w:rsidP="000579C9">
      <w:pPr>
        <w:pStyle w:val="BodyText2"/>
        <w:tabs>
          <w:tab w:val="left" w:pos="319"/>
        </w:tabs>
        <w:spacing w:after="0" w:line="240" w:lineRule="auto"/>
        <w:jc w:val="both"/>
        <w:rPr>
          <w:rFonts w:ascii="Times New Roman" w:hAnsi="Times New Roman"/>
          <w:sz w:val="24"/>
          <w:szCs w:val="24"/>
          <w:lang w:val="lv-LV"/>
        </w:rPr>
      </w:pPr>
      <w:r>
        <w:rPr>
          <w:rFonts w:ascii="Times New Roman" w:hAnsi="Times New Roman"/>
          <w:sz w:val="24"/>
          <w:szCs w:val="24"/>
          <w:lang w:val="lv-LV"/>
        </w:rPr>
        <w:t>2</w:t>
      </w:r>
      <w:r w:rsidR="000579C9" w:rsidRPr="00B46E2E">
        <w:rPr>
          <w:rFonts w:ascii="Times New Roman" w:hAnsi="Times New Roman"/>
          <w:sz w:val="24"/>
          <w:szCs w:val="24"/>
          <w:lang w:val="lv-LV"/>
        </w:rPr>
        <w:t>.pielikums</w:t>
      </w:r>
      <w:r w:rsidR="000579C9" w:rsidRPr="00B46E2E">
        <w:rPr>
          <w:rFonts w:ascii="Times New Roman" w:hAnsi="Times New Roman"/>
          <w:sz w:val="24"/>
          <w:szCs w:val="24"/>
          <w:lang w:val="lv-LV"/>
        </w:rPr>
        <w:tab/>
      </w:r>
      <w:r w:rsidR="000579C9" w:rsidRPr="00B46E2E">
        <w:rPr>
          <w:rFonts w:ascii="Times New Roman" w:hAnsi="Times New Roman"/>
          <w:sz w:val="24"/>
          <w:szCs w:val="24"/>
          <w:lang w:val="lv-LV"/>
        </w:rPr>
        <w:tab/>
      </w:r>
      <w:proofErr w:type="spellStart"/>
      <w:r w:rsidR="000579C9" w:rsidRPr="00B46E2E">
        <w:rPr>
          <w:rFonts w:ascii="Times New Roman" w:hAnsi="Times New Roman"/>
          <w:sz w:val="24"/>
          <w:szCs w:val="24"/>
        </w:rPr>
        <w:t>Pretendenta</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pieredzes</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apliecinājuma</w:t>
      </w:r>
      <w:proofErr w:type="spellEnd"/>
      <w:r w:rsidR="000579C9" w:rsidRPr="00B46E2E">
        <w:rPr>
          <w:rFonts w:ascii="Times New Roman" w:hAnsi="Times New Roman"/>
          <w:sz w:val="24"/>
          <w:szCs w:val="24"/>
        </w:rPr>
        <w:t xml:space="preserve"> forma.</w:t>
      </w:r>
    </w:p>
    <w:p w:rsidR="000579C9" w:rsidRPr="00B46E2E" w:rsidRDefault="009D17A5" w:rsidP="000579C9">
      <w:pPr>
        <w:rPr>
          <w:bCs/>
        </w:rPr>
      </w:pPr>
      <w:r>
        <w:rPr>
          <w:bCs/>
        </w:rPr>
        <w:t>3</w:t>
      </w:r>
      <w:r w:rsidR="000579C9" w:rsidRPr="00B46E2E">
        <w:rPr>
          <w:bCs/>
        </w:rPr>
        <w:t xml:space="preserve">.pielikums </w:t>
      </w:r>
      <w:r w:rsidR="000579C9" w:rsidRPr="00B46E2E">
        <w:rPr>
          <w:bCs/>
        </w:rPr>
        <w:tab/>
      </w:r>
      <w:r w:rsidR="000579C9" w:rsidRPr="00B46E2E">
        <w:rPr>
          <w:bCs/>
        </w:rPr>
        <w:tab/>
      </w:r>
      <w:r w:rsidR="000579C9" w:rsidRPr="00B46E2E">
        <w:t>Tehniskā specifikācija.</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id" w:val="-1"/>
          <w:attr w:name="baseform" w:val="pieteikums"/>
          <w:attr w:name="text" w:val="pieteikums"/>
        </w:smartTagPr>
        <w:r w:rsidRPr="00B46E2E">
          <w:rPr>
            <w:szCs w:val="24"/>
          </w:rPr>
          <w:t>PIETEIKUMS</w:t>
        </w:r>
      </w:smartTag>
      <w:r w:rsidRPr="00B46E2E">
        <w:rPr>
          <w:szCs w:val="24"/>
        </w:rPr>
        <w:t xml:space="preserve"> DALĪBAI PUBLISKAJĀ IEPIRKUMĀ</w:t>
      </w:r>
    </w:p>
    <w:p w:rsidR="000579C9" w:rsidRPr="00B46E2E" w:rsidRDefault="000579C9" w:rsidP="000579C9">
      <w:pPr>
        <w:pStyle w:val="StyleHeading1"/>
        <w:tabs>
          <w:tab w:val="clear" w:pos="432"/>
        </w:tabs>
        <w:ind w:left="0" w:firstLine="0"/>
        <w:jc w:val="center"/>
        <w:rPr>
          <w:szCs w:val="24"/>
        </w:rPr>
      </w:pPr>
      <w:r w:rsidRPr="00B46E2E">
        <w:rPr>
          <w:bCs w:val="0"/>
          <w:szCs w:val="24"/>
        </w:rPr>
        <w:t>„</w:t>
      </w:r>
      <w:r w:rsidR="001E3084" w:rsidRPr="001E3084">
        <w:rPr>
          <w:bCs w:val="0"/>
          <w:szCs w:val="24"/>
        </w:rPr>
        <w:t>Kuldīgas novada p/a “Kuldīgas Galvenā bibliotēka” izstāžu organizēšana Mākslas namā</w:t>
      </w:r>
      <w:r w:rsidRPr="00B46E2E">
        <w:rPr>
          <w:bCs w:val="0"/>
          <w:szCs w:val="24"/>
        </w:rPr>
        <w:t>”</w:t>
      </w:r>
    </w:p>
    <w:p w:rsidR="000579C9" w:rsidRPr="00B46E2E" w:rsidRDefault="001E3084" w:rsidP="000579C9">
      <w:pPr>
        <w:jc w:val="center"/>
        <w:rPr>
          <w:b/>
        </w:rPr>
      </w:pPr>
      <w:r>
        <w:rPr>
          <w:b/>
        </w:rPr>
        <w:t>Iepirkuma ID Nr. KNP/2014/84</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 xml:space="preserve">Ar šo mēs apliecinām </w:t>
      </w:r>
      <w:proofErr w:type="gramStart"/>
      <w:r w:rsidRPr="00B46E2E">
        <w:t>savu dalību publiskajā iepirkumā „</w:t>
      </w:r>
      <w:r w:rsidR="001E3084" w:rsidRPr="001E3084">
        <w:rPr>
          <w:b/>
          <w:bCs/>
        </w:rPr>
        <w:t>Kuldīgas novada p/a “Kuldīgas Galvenā bibliotēka” izstāžu organizēšana Mākslas namā</w:t>
      </w:r>
      <w:r w:rsidRPr="00B46E2E">
        <w:rPr>
          <w:b/>
        </w:rPr>
        <w:t>”</w:t>
      </w:r>
      <w:proofErr w:type="gramEnd"/>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Mēs piedāvājam veikt pasūtījumu - „</w:t>
      </w:r>
      <w:r w:rsidR="001E3084" w:rsidRPr="001E3084">
        <w:rPr>
          <w:b/>
          <w:bCs/>
        </w:rPr>
        <w:t>Kuldīgas novada p/a “Kuldīgas Galvenā bibliotēka” izstāžu organizēšana Mākslas namā</w:t>
      </w:r>
      <w:r w:rsidRPr="00B46E2E">
        <w:t>”, saskaņā ar nolikuma un tehniskās specifikācijas pr</w:t>
      </w:r>
      <w:r w:rsidR="001E3084">
        <w:t>asībām par:</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579C9" w:rsidRPr="00B46E2E" w:rsidTr="0084066A">
        <w:trPr>
          <w:trHeight w:val="414"/>
          <w:jc w:val="center"/>
        </w:trPr>
        <w:tc>
          <w:tcPr>
            <w:tcW w:w="9634" w:type="dxa"/>
            <w:tcBorders>
              <w:top w:val="nil"/>
              <w:left w:val="nil"/>
              <w:bottom w:val="single" w:sz="4" w:space="0" w:color="auto"/>
              <w:right w:val="nil"/>
            </w:tcBorders>
            <w:vAlign w:val="bottom"/>
          </w:tcPr>
          <w:p w:rsidR="000579C9" w:rsidRPr="00B46E2E" w:rsidRDefault="000579C9" w:rsidP="0084066A">
            <w:pPr>
              <w:ind w:right="-901"/>
              <w:jc w:val="center"/>
              <w:rPr>
                <w:b/>
              </w:rPr>
            </w:pPr>
            <w:r w:rsidRPr="00B46E2E">
              <w:rPr>
                <w:b/>
              </w:rPr>
              <w:t xml:space="preserve">  </w:t>
            </w:r>
          </w:p>
        </w:tc>
      </w:tr>
      <w:tr w:rsidR="000579C9" w:rsidRPr="00B46E2E" w:rsidTr="0084066A">
        <w:trPr>
          <w:trHeight w:val="77"/>
          <w:jc w:val="center"/>
        </w:trPr>
        <w:tc>
          <w:tcPr>
            <w:tcW w:w="9634" w:type="dxa"/>
            <w:tcBorders>
              <w:top w:val="single" w:sz="4" w:space="0" w:color="auto"/>
              <w:left w:val="nil"/>
              <w:bottom w:val="nil"/>
              <w:right w:val="nil"/>
            </w:tcBorders>
          </w:tcPr>
          <w:p w:rsidR="000579C9" w:rsidRPr="001E3084" w:rsidRDefault="001E3084" w:rsidP="0084066A">
            <w:pPr>
              <w:ind w:right="-901"/>
              <w:jc w:val="center"/>
            </w:pPr>
            <w:r w:rsidRPr="001E3084">
              <w:t>Vienas stundas</w:t>
            </w:r>
            <w:r w:rsidR="000579C9" w:rsidRPr="001E3084">
              <w:t xml:space="preserve"> cena </w:t>
            </w:r>
            <w:proofErr w:type="spellStart"/>
            <w:r w:rsidR="000579C9" w:rsidRPr="001E3084">
              <w:t>euro</w:t>
            </w:r>
            <w:proofErr w:type="spellEnd"/>
            <w:r w:rsidR="000579C9" w:rsidRPr="001E3084">
              <w:t xml:space="preserve"> ar </w:t>
            </w:r>
            <w:smartTag w:uri="urn:schemas-microsoft-com:office:smarttags" w:element="stockticker">
              <w:r w:rsidR="000579C9" w:rsidRPr="001E3084">
                <w:t>PVN</w:t>
              </w:r>
            </w:smartTag>
            <w:r w:rsidR="000579C9" w:rsidRPr="001E3084">
              <w:t xml:space="preserve"> vārdos un skaitļos</w:t>
            </w:r>
          </w:p>
        </w:tc>
      </w:tr>
    </w:tbl>
    <w:p w:rsidR="000579C9" w:rsidRPr="00B46E2E" w:rsidRDefault="000579C9" w:rsidP="000579C9">
      <w:pPr>
        <w:ind w:right="-901"/>
        <w:rPr>
          <w:b/>
        </w:rPr>
      </w:pPr>
      <w:r w:rsidRPr="00B46E2E">
        <w:rPr>
          <w:b/>
        </w:rPr>
        <w:t>tajā skaitā:</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D75922" w:rsidRDefault="001E3084" w:rsidP="0084066A">
            <w:pPr>
              <w:ind w:right="-901"/>
              <w:jc w:val="center"/>
              <w:rPr>
                <w:b/>
              </w:rPr>
            </w:pPr>
            <w:r w:rsidRPr="00D75922">
              <w:rPr>
                <w:b/>
              </w:rPr>
              <w:t>Vienas stundas</w:t>
            </w:r>
            <w:r w:rsidR="000579C9" w:rsidRPr="00D75922">
              <w:rPr>
                <w:b/>
              </w:rPr>
              <w:t xml:space="preserve"> cena </w:t>
            </w:r>
            <w:proofErr w:type="spellStart"/>
            <w:r w:rsidR="000579C9" w:rsidRPr="00D75922">
              <w:rPr>
                <w:b/>
              </w:rPr>
              <w:t>euro</w:t>
            </w:r>
            <w:proofErr w:type="spellEnd"/>
            <w:r w:rsidR="000579C9" w:rsidRPr="00D75922">
              <w:rPr>
                <w:b/>
              </w:rPr>
              <w:t xml:space="preserve"> bez </w:t>
            </w:r>
            <w:smartTag w:uri="urn:schemas-microsoft-com:office:smarttags" w:element="stockticker">
              <w:r w:rsidR="000579C9" w:rsidRPr="00D75922">
                <w:rPr>
                  <w:b/>
                </w:rPr>
                <w:t>PVN</w:t>
              </w:r>
            </w:smartTag>
            <w:r w:rsidR="000579C9" w:rsidRPr="00D75922">
              <w:rPr>
                <w:b/>
              </w:rPr>
              <w:t xml:space="preserve"> vārdos un skaitļos</w:t>
            </w:r>
          </w:p>
        </w:tc>
      </w:tr>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jc w:val="center"/>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rPr>
                <w:b/>
              </w:rPr>
            </w:pP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jc w:val="both"/>
        <w:rPr>
          <w:b/>
        </w:rPr>
      </w:pPr>
    </w:p>
    <w:p w:rsidR="00D75922" w:rsidRDefault="00D75922" w:rsidP="000579C9">
      <w:pPr>
        <w:pStyle w:val="Default"/>
        <w:jc w:val="both"/>
        <w:rPr>
          <w:b/>
          <w:bCs/>
        </w:rPr>
      </w:pPr>
    </w:p>
    <w:p w:rsidR="00D75922" w:rsidRDefault="00D75922" w:rsidP="000579C9">
      <w:pPr>
        <w:pStyle w:val="Default"/>
        <w:jc w:val="both"/>
        <w:rPr>
          <w:b/>
          <w:bCs/>
        </w:rPr>
      </w:pPr>
    </w:p>
    <w:p w:rsidR="00D75922" w:rsidRDefault="00D75922" w:rsidP="000579C9">
      <w:pPr>
        <w:pStyle w:val="Default"/>
        <w:jc w:val="both"/>
        <w:rPr>
          <w:b/>
          <w:bCs/>
        </w:rPr>
      </w:pPr>
    </w:p>
    <w:p w:rsidR="000579C9" w:rsidRPr="00B46E2E" w:rsidRDefault="000579C9" w:rsidP="000579C9">
      <w:pPr>
        <w:pStyle w:val="Default"/>
        <w:jc w:val="both"/>
      </w:pPr>
      <w:r w:rsidRPr="00B46E2E">
        <w:rPr>
          <w:b/>
          <w:bCs/>
        </w:rPr>
        <w:lastRenderedPageBreak/>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text" w:val="aktu"/>
          <w:attr w:name="id" w:val="-1"/>
          <w:attr w:name="baseform" w:val="akt|s"/>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D23A05">
      <w:pPr>
        <w:spacing w:after="160" w:line="259" w:lineRule="auto"/>
      </w:pPr>
    </w:p>
    <w:p w:rsidR="000579C9" w:rsidRPr="00B46E2E" w:rsidRDefault="000579C9" w:rsidP="000579C9">
      <w:pPr>
        <w:jc w:val="both"/>
      </w:pPr>
    </w:p>
    <w:p w:rsidR="000579C9" w:rsidRPr="00B46E2E" w:rsidRDefault="00D23A05" w:rsidP="000579C9">
      <w:pPr>
        <w:ind w:right="-96"/>
        <w:jc w:val="right"/>
        <w:rPr>
          <w:b/>
          <w:i/>
          <w:lang w:eastAsia="en-US"/>
        </w:rPr>
      </w:pPr>
      <w:r>
        <w:rPr>
          <w:b/>
          <w:i/>
          <w:lang w:eastAsia="en-US"/>
        </w:rPr>
        <w:t>2</w:t>
      </w:r>
      <w:r w:rsidR="000579C9" w:rsidRPr="00B46E2E">
        <w:rPr>
          <w:b/>
          <w:i/>
          <w:lang w:eastAsia="en-US"/>
        </w:rPr>
        <w:t>.Pielikums</w:t>
      </w:r>
    </w:p>
    <w:p w:rsidR="000579C9" w:rsidRPr="00B46E2E" w:rsidRDefault="000579C9" w:rsidP="000579C9">
      <w:pPr>
        <w:ind w:right="-96"/>
        <w:jc w:val="center"/>
        <w:rPr>
          <w:lang w:eastAsia="en-US"/>
        </w:rPr>
      </w:pPr>
    </w:p>
    <w:p w:rsidR="000579C9" w:rsidRPr="00B46E2E" w:rsidRDefault="000579C9" w:rsidP="000579C9">
      <w:pPr>
        <w:ind w:right="-96"/>
        <w:jc w:val="center"/>
        <w:rPr>
          <w:b/>
          <w:lang w:eastAsia="en-US"/>
        </w:rPr>
      </w:pPr>
      <w:r w:rsidRPr="00B46E2E">
        <w:rPr>
          <w:b/>
          <w:lang w:eastAsia="en-US"/>
        </w:rPr>
        <w:t xml:space="preserve">PRETENDENTA PIEREDZE </w:t>
      </w:r>
    </w:p>
    <w:p w:rsidR="000579C9" w:rsidRPr="00B46E2E" w:rsidRDefault="000579C9" w:rsidP="000579C9">
      <w:pPr>
        <w:ind w:right="-96"/>
        <w:jc w:val="center"/>
        <w:rPr>
          <w:b/>
          <w:lang w:eastAsia="en-US"/>
        </w:rPr>
      </w:pPr>
      <w:r w:rsidRPr="00B46E2E">
        <w:rPr>
          <w:b/>
          <w:lang w:eastAsia="en-US"/>
        </w:rPr>
        <w:t>(tikai par iepirkuma priekšmetu)</w:t>
      </w:r>
    </w:p>
    <w:p w:rsidR="000579C9" w:rsidRPr="00B46E2E" w:rsidRDefault="000579C9" w:rsidP="000579C9">
      <w:pPr>
        <w:ind w:right="-96"/>
        <w:jc w:val="center"/>
        <w:rPr>
          <w:b/>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9522" w:type="dxa"/>
        <w:tblInd w:w="108" w:type="dxa"/>
        <w:tblLayout w:type="fixed"/>
        <w:tblLook w:val="0000" w:firstRow="0" w:lastRow="0" w:firstColumn="0" w:lastColumn="0" w:noHBand="0" w:noVBand="0"/>
      </w:tblPr>
      <w:tblGrid>
        <w:gridCol w:w="807"/>
        <w:gridCol w:w="3155"/>
        <w:gridCol w:w="1848"/>
        <w:gridCol w:w="1775"/>
        <w:gridCol w:w="1937"/>
      </w:tblGrid>
      <w:tr w:rsidR="000579C9" w:rsidRPr="00B46E2E" w:rsidTr="0084066A">
        <w:trPr>
          <w:trHeight w:val="1000"/>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Nr.</w:t>
            </w:r>
          </w:p>
          <w:p w:rsidR="000579C9" w:rsidRPr="00B46E2E" w:rsidRDefault="000579C9" w:rsidP="0084066A">
            <w:pPr>
              <w:ind w:left="-108" w:right="-96"/>
              <w:jc w:val="center"/>
              <w:rPr>
                <w:lang w:eastAsia="en-US"/>
              </w:rPr>
            </w:pPr>
            <w:r w:rsidRPr="00B46E2E">
              <w:rPr>
                <w:lang w:eastAsia="en-US"/>
              </w:rPr>
              <w:t>p.k.</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D23A05">
            <w:pPr>
              <w:snapToGrid w:val="0"/>
              <w:ind w:left="-108" w:right="-96"/>
              <w:jc w:val="center"/>
              <w:rPr>
                <w:lang w:eastAsia="en-US"/>
              </w:rPr>
            </w:pPr>
            <w:r w:rsidRPr="00B46E2E">
              <w:rPr>
                <w:lang w:eastAsia="en-US"/>
              </w:rPr>
              <w:t>P</w:t>
            </w:r>
            <w:r w:rsidR="00D23A05">
              <w:rPr>
                <w:lang w:eastAsia="en-US"/>
              </w:rPr>
              <w:t>akalpojuma</w:t>
            </w:r>
            <w:r w:rsidRPr="00B46E2E">
              <w:rPr>
                <w:lang w:eastAsia="en-US"/>
              </w:rPr>
              <w:t xml:space="preserve"> veikšanas vieta un laiks </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ind w:left="-108" w:right="-96"/>
              <w:jc w:val="center"/>
              <w:rPr>
                <w:vertAlign w:val="superscript"/>
                <w:lang w:eastAsia="en-US"/>
              </w:rPr>
            </w:pPr>
            <w:r w:rsidRPr="00B46E2E">
              <w:rPr>
                <w:lang w:eastAsia="en-US"/>
              </w:rPr>
              <w:t>Pasūtītājs</w:t>
            </w:r>
          </w:p>
        </w:tc>
        <w:tc>
          <w:tcPr>
            <w:tcW w:w="1775" w:type="dxa"/>
            <w:tcBorders>
              <w:top w:val="single" w:sz="4" w:space="0" w:color="000000"/>
              <w:left w:val="single" w:sz="4" w:space="0" w:color="000000"/>
              <w:bottom w:val="single" w:sz="4" w:space="0" w:color="000000"/>
            </w:tcBorders>
            <w:vAlign w:val="center"/>
          </w:tcPr>
          <w:p w:rsidR="000579C9" w:rsidRPr="00B46E2E" w:rsidRDefault="00D23A05" w:rsidP="0084066A">
            <w:pPr>
              <w:snapToGrid w:val="0"/>
              <w:ind w:left="-108" w:right="-96"/>
              <w:jc w:val="center"/>
              <w:rPr>
                <w:lang w:eastAsia="en-US"/>
              </w:rPr>
            </w:pPr>
            <w:r>
              <w:rPr>
                <w:lang w:eastAsia="en-US"/>
              </w:rPr>
              <w:t xml:space="preserve">Pakalpojuma </w:t>
            </w:r>
            <w:r w:rsidR="000579C9" w:rsidRPr="00B46E2E">
              <w:rPr>
                <w:lang w:eastAsia="en-US"/>
              </w:rPr>
              <w:t>veids</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Pasūtītāja kontaktpersona, tālruņa numurs</w:t>
            </w: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2</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D75922" w:rsidP="0084066A">
            <w:pPr>
              <w:snapToGrid w:val="0"/>
              <w:ind w:right="-96"/>
              <w:jc w:val="center"/>
              <w:rPr>
                <w:lang w:eastAsia="en-US"/>
              </w:rPr>
            </w:pPr>
            <w:r>
              <w:rPr>
                <w:lang w:eastAsia="en-US"/>
              </w:rPr>
              <w:t>3</w:t>
            </w:r>
          </w:p>
        </w:tc>
        <w:tc>
          <w:tcPr>
            <w:tcW w:w="1775" w:type="dxa"/>
            <w:tcBorders>
              <w:top w:val="single" w:sz="4" w:space="0" w:color="000000"/>
              <w:left w:val="single" w:sz="4" w:space="0" w:color="000000"/>
              <w:bottom w:val="single" w:sz="4" w:space="0" w:color="000000"/>
            </w:tcBorders>
          </w:tcPr>
          <w:p w:rsidR="000579C9" w:rsidRPr="00B46E2E" w:rsidRDefault="00D75922" w:rsidP="0084066A">
            <w:pPr>
              <w:snapToGrid w:val="0"/>
              <w:ind w:right="-96"/>
              <w:jc w:val="center"/>
              <w:rPr>
                <w:lang w:eastAsia="en-US"/>
              </w:rPr>
            </w:pPr>
            <w:r>
              <w:rPr>
                <w:lang w:eastAsia="en-US"/>
              </w:rPr>
              <w:t>4</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D75922" w:rsidP="0084066A">
            <w:pPr>
              <w:snapToGrid w:val="0"/>
              <w:ind w:right="-96"/>
              <w:jc w:val="center"/>
              <w:rPr>
                <w:lang w:eastAsia="en-US"/>
              </w:rPr>
            </w:pPr>
            <w:r>
              <w:rPr>
                <w:lang w:eastAsia="en-US"/>
              </w:rPr>
              <w:t>5</w:t>
            </w:r>
            <w:bookmarkStart w:id="39" w:name="_GoBack"/>
            <w:bookmarkEnd w:id="39"/>
          </w:p>
        </w:tc>
      </w:tr>
      <w:tr w:rsidR="000579C9" w:rsidRPr="00B46E2E" w:rsidTr="0084066A">
        <w:trPr>
          <w:trHeight w:val="352"/>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bl>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0" w:type="auto"/>
        <w:tblInd w:w="108" w:type="dxa"/>
        <w:tblLayout w:type="fixed"/>
        <w:tblLook w:val="0000" w:firstRow="0" w:lastRow="0" w:firstColumn="0" w:lastColumn="0" w:noHBand="0" w:noVBand="0"/>
      </w:tblPr>
      <w:tblGrid>
        <w:gridCol w:w="3067"/>
        <w:gridCol w:w="3835"/>
      </w:tblGrid>
      <w:tr w:rsidR="000579C9" w:rsidRPr="00B46E2E" w:rsidTr="0084066A">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bl>
    <w:p w:rsidR="00246616" w:rsidRPr="00B46E2E" w:rsidRDefault="000579C9" w:rsidP="000579C9">
      <w:pPr>
        <w:ind w:right="-96"/>
        <w:rPr>
          <w:lang w:eastAsia="en-US"/>
        </w:rPr>
      </w:pPr>
      <w:r w:rsidRPr="00B46E2E">
        <w:rPr>
          <w:lang w:eastAsia="en-US"/>
        </w:rPr>
        <w:t xml:space="preserve">                                        </w:t>
      </w:r>
      <w:r w:rsidR="00246616" w:rsidRPr="00B46E2E">
        <w:rPr>
          <w:lang w:eastAsia="en-US"/>
        </w:rPr>
        <w:t xml:space="preserve">                             </w:t>
      </w:r>
    </w:p>
    <w:p w:rsidR="000579C9" w:rsidRPr="00B46E2E" w:rsidRDefault="00246616" w:rsidP="000579C9">
      <w:pPr>
        <w:ind w:right="-96"/>
        <w:rPr>
          <w:lang w:eastAsia="en-US"/>
        </w:rPr>
      </w:pPr>
      <w:r w:rsidRPr="00B46E2E">
        <w:rPr>
          <w:lang w:eastAsia="en-US"/>
        </w:rPr>
        <w:t>Z.v</w:t>
      </w:r>
      <w:r w:rsidR="000579C9" w:rsidRPr="00B46E2E">
        <w:rPr>
          <w:lang w:eastAsia="en-US"/>
        </w:rPr>
        <w:t>.</w:t>
      </w:r>
    </w:p>
    <w:p w:rsidR="00246616" w:rsidRPr="00B46E2E" w:rsidRDefault="00246616">
      <w:pPr>
        <w:spacing w:after="160" w:line="259" w:lineRule="auto"/>
        <w:rPr>
          <w:lang w:eastAsia="en-US"/>
        </w:rPr>
      </w:pPr>
      <w:r w:rsidRPr="00B46E2E">
        <w:rPr>
          <w:lang w:eastAsia="en-US"/>
        </w:rPr>
        <w:br w:type="page"/>
      </w:r>
    </w:p>
    <w:p w:rsidR="00285217" w:rsidRDefault="00D23A05" w:rsidP="00285217">
      <w:pPr>
        <w:ind w:firstLine="4680"/>
        <w:jc w:val="right"/>
        <w:rPr>
          <w:b/>
        </w:rPr>
      </w:pPr>
      <w:r>
        <w:rPr>
          <w:b/>
        </w:rPr>
        <w:lastRenderedPageBreak/>
        <w:t>Pielikums Nr.3</w:t>
      </w:r>
      <w:r w:rsidR="00285217" w:rsidRPr="00B46E2E">
        <w:rPr>
          <w:b/>
        </w:rPr>
        <w:tab/>
      </w:r>
    </w:p>
    <w:p w:rsidR="00D23A05" w:rsidRDefault="00D23A05" w:rsidP="00285217">
      <w:pPr>
        <w:ind w:firstLine="4680"/>
        <w:jc w:val="right"/>
        <w:rPr>
          <w:b/>
        </w:rPr>
      </w:pPr>
    </w:p>
    <w:p w:rsidR="00D23A05" w:rsidRPr="00D23A05" w:rsidRDefault="00D23A05" w:rsidP="00D23A05">
      <w:pPr>
        <w:spacing w:after="160" w:line="259" w:lineRule="auto"/>
        <w:jc w:val="center"/>
        <w:rPr>
          <w:rFonts w:ascii="Calibri" w:eastAsia="Calibri" w:hAnsi="Calibri"/>
          <w:b/>
          <w:sz w:val="22"/>
          <w:szCs w:val="22"/>
          <w:lang w:eastAsia="en-US"/>
        </w:rPr>
      </w:pPr>
      <w:r w:rsidRPr="00D23A05">
        <w:rPr>
          <w:rFonts w:ascii="Calibri" w:eastAsia="Calibri" w:hAnsi="Calibri"/>
          <w:b/>
          <w:sz w:val="22"/>
          <w:szCs w:val="22"/>
          <w:lang w:eastAsia="en-US"/>
        </w:rPr>
        <w:t>Kuldīgas novada p/a “Kuldīgas Galvenā bibliotēka” izstāžu organizēšana Mākslas namā</w:t>
      </w:r>
    </w:p>
    <w:p w:rsidR="00D23A05" w:rsidRPr="00D23A05" w:rsidRDefault="00D23A05" w:rsidP="00D23A05">
      <w:pPr>
        <w:spacing w:after="160" w:line="259" w:lineRule="auto"/>
        <w:jc w:val="center"/>
        <w:rPr>
          <w:rFonts w:ascii="Calibri" w:eastAsia="Calibri" w:hAnsi="Calibri"/>
          <w:b/>
          <w:sz w:val="28"/>
          <w:szCs w:val="28"/>
          <w:lang w:eastAsia="en-US"/>
        </w:rPr>
      </w:pPr>
      <w:r w:rsidRPr="00D23A05">
        <w:rPr>
          <w:rFonts w:ascii="Calibri" w:eastAsia="Calibri" w:hAnsi="Calibri"/>
          <w:b/>
          <w:sz w:val="28"/>
          <w:szCs w:val="28"/>
          <w:lang w:eastAsia="en-US"/>
        </w:rPr>
        <w:t>Tehniskā specifikācija</w:t>
      </w:r>
    </w:p>
    <w:tbl>
      <w:tblPr>
        <w:tblStyle w:val="TableGrid"/>
        <w:tblW w:w="0" w:type="auto"/>
        <w:tblInd w:w="392" w:type="dxa"/>
        <w:tblLook w:val="04A0" w:firstRow="1" w:lastRow="0" w:firstColumn="1" w:lastColumn="0" w:noHBand="0" w:noVBand="1"/>
      </w:tblPr>
      <w:tblGrid>
        <w:gridCol w:w="4280"/>
        <w:gridCol w:w="5075"/>
      </w:tblGrid>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Izstāžu norises vieta</w:t>
            </w: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Kuldīgas Galvenās bibliotēkas Mākslas nams, 1905.gada iela 6</w:t>
            </w:r>
          </w:p>
        </w:tc>
      </w:tr>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Izstāžu sagatavošanas laiks</w:t>
            </w: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 xml:space="preserve"> 31.12.2015</w:t>
            </w:r>
          </w:p>
        </w:tc>
      </w:tr>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Gada laikā sagatavojamās izstādes</w:t>
            </w: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Vizuālās mākslas /dizaina izstādes – 5</w:t>
            </w:r>
          </w:p>
        </w:tc>
      </w:tr>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Foto izstādes – 4</w:t>
            </w:r>
          </w:p>
        </w:tc>
      </w:tr>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Ar literatūras procesu vai bibliotēkas darbību saistītas izstādes - 2</w:t>
            </w:r>
          </w:p>
        </w:tc>
      </w:tr>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Izstāžu iekārtošana</w:t>
            </w: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montēšana, iekārtošana, demontāža.</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noformēšana, darbu anotācijas, darbu nosaukumi, ietverot arī darba izmēru, materiālu un darba izpildes tehniku. Darbu eksponēšanai nepieciešamie palīglīdzekļi un tehniskais nodrošinājums. Izstādes izdales un informatīvie materiāli</w:t>
            </w:r>
          </w:p>
        </w:tc>
      </w:tr>
      <w:tr w:rsidR="00D23A05" w:rsidRPr="00D23A05" w:rsidTr="00D23A05">
        <w:tc>
          <w:tcPr>
            <w:tcW w:w="4280"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atklāšana</w:t>
            </w:r>
          </w:p>
        </w:tc>
        <w:tc>
          <w:tcPr>
            <w:tcW w:w="507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atklāšanas pasākuma norises scenārijs.</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Muzikālais priekšnesums</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Autora piedalīšanās, kuratora saruna ar autoru</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atklāšanas pasākuma tehniskais nodrošinājums</w:t>
            </w:r>
          </w:p>
        </w:tc>
      </w:tr>
    </w:tbl>
    <w:p w:rsidR="00D23A05" w:rsidRPr="00D23A05" w:rsidRDefault="00D23A05" w:rsidP="00D23A05">
      <w:pPr>
        <w:spacing w:after="160" w:line="259" w:lineRule="auto"/>
        <w:jc w:val="center"/>
        <w:rPr>
          <w:rFonts w:ascii="Calibri" w:eastAsia="Calibri" w:hAnsi="Calibri"/>
          <w:b/>
          <w:sz w:val="28"/>
          <w:szCs w:val="28"/>
          <w:lang w:eastAsia="en-US"/>
        </w:rPr>
      </w:pPr>
    </w:p>
    <w:tbl>
      <w:tblPr>
        <w:tblStyle w:val="TableGrid"/>
        <w:tblW w:w="0" w:type="auto"/>
        <w:tblInd w:w="392" w:type="dxa"/>
        <w:tblLook w:val="04A0" w:firstRow="1" w:lastRow="0" w:firstColumn="1" w:lastColumn="0" w:noHBand="0" w:noVBand="1"/>
      </w:tblPr>
      <w:tblGrid>
        <w:gridCol w:w="1007"/>
        <w:gridCol w:w="3895"/>
        <w:gridCol w:w="4453"/>
      </w:tblGrid>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roofErr w:type="spellStart"/>
            <w:r w:rsidRPr="00D23A05">
              <w:rPr>
                <w:rFonts w:ascii="Calibri" w:eastAsia="Calibri" w:hAnsi="Calibri"/>
                <w:sz w:val="22"/>
                <w:szCs w:val="22"/>
                <w:lang w:eastAsia="en-US"/>
              </w:rPr>
              <w:t>N.p.k</w:t>
            </w:r>
            <w:proofErr w:type="spellEnd"/>
          </w:p>
        </w:tc>
        <w:tc>
          <w:tcPr>
            <w:tcW w:w="3895" w:type="dxa"/>
          </w:tcPr>
          <w:p w:rsidR="00D23A05" w:rsidRPr="00D23A05" w:rsidRDefault="00D23A05" w:rsidP="00D23A05">
            <w:pPr>
              <w:rPr>
                <w:rFonts w:ascii="Calibri" w:eastAsia="Calibri" w:hAnsi="Calibri"/>
                <w:sz w:val="22"/>
                <w:szCs w:val="22"/>
                <w:lang w:eastAsia="en-US"/>
              </w:rPr>
            </w:pPr>
          </w:p>
        </w:tc>
        <w:tc>
          <w:tcPr>
            <w:tcW w:w="4453" w:type="dxa"/>
          </w:tcPr>
          <w:p w:rsidR="00D23A05" w:rsidRPr="00D23A05" w:rsidRDefault="00D23A05" w:rsidP="00D23A05">
            <w:pPr>
              <w:jc w:val="center"/>
              <w:rPr>
                <w:rFonts w:ascii="Calibri" w:eastAsia="Calibri" w:hAnsi="Calibri"/>
                <w:sz w:val="22"/>
                <w:szCs w:val="22"/>
                <w:lang w:eastAsia="en-US"/>
              </w:rPr>
            </w:pPr>
            <w:r w:rsidRPr="00D23A05">
              <w:rPr>
                <w:rFonts w:ascii="Calibri" w:eastAsia="Calibri" w:hAnsi="Calibri"/>
                <w:sz w:val="22"/>
                <w:szCs w:val="22"/>
                <w:lang w:eastAsia="en-US"/>
              </w:rPr>
              <w:t>Prasības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8348" w:type="dxa"/>
            <w:gridSpan w:val="2"/>
          </w:tcPr>
          <w:p w:rsidR="00D23A05" w:rsidRPr="00D23A05" w:rsidRDefault="00D23A05" w:rsidP="00D23A05">
            <w:pPr>
              <w:jc w:val="center"/>
              <w:rPr>
                <w:rFonts w:ascii="Calibri" w:eastAsia="Calibri" w:hAnsi="Calibri"/>
                <w:b/>
                <w:sz w:val="22"/>
                <w:szCs w:val="22"/>
                <w:lang w:eastAsia="en-US"/>
              </w:rPr>
            </w:pPr>
            <w:r w:rsidRPr="00D23A05">
              <w:rPr>
                <w:rFonts w:ascii="Calibri" w:eastAsia="Calibri" w:hAnsi="Calibri"/>
                <w:b/>
                <w:sz w:val="22"/>
                <w:szCs w:val="22"/>
                <w:lang w:eastAsia="en-US"/>
              </w:rPr>
              <w:t>Vizuālās mākslas /dizaina izstādes - 5</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Izstāžu iekārtošana, montāža, demontāža (t.sk. nepieciešamie materiāli)</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iekārtošanu veic ne vēlāk kā dienu pirms izstādes atklāšanas. Izstādes iekārtošanas vadību veic izstāžu kurators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 xml:space="preserve">Izstādes noformēšana </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Uz atklāšanas brīdi izstādei jābūt noformētai, ar darba anotācijām un darba nosaukumiem, ietverot arī darba izmēru, materiālu un darba izpildes tehniku.</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Darbu eksponēšanai nepieciešamie palīglīdzekļi un tehniskais nodrošinājums.</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Nepieciešamo palīglīdzekļu un tehniskā nodrošinājuma noma</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izdales un informatīvie</w:t>
            </w:r>
            <w:proofErr w:type="gramStart"/>
            <w:r w:rsidRPr="00D23A05">
              <w:rPr>
                <w:rFonts w:ascii="Calibri" w:eastAsia="Calibri" w:hAnsi="Calibri"/>
                <w:sz w:val="22"/>
                <w:szCs w:val="22"/>
                <w:lang w:eastAsia="en-US"/>
              </w:rPr>
              <w:t xml:space="preserve">  </w:t>
            </w:r>
            <w:proofErr w:type="gramEnd"/>
            <w:r w:rsidRPr="00D23A05">
              <w:rPr>
                <w:rFonts w:ascii="Calibri" w:eastAsia="Calibri" w:hAnsi="Calibri"/>
                <w:sz w:val="22"/>
                <w:szCs w:val="22"/>
                <w:lang w:eastAsia="en-US"/>
              </w:rPr>
              <w:t>materiāli</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Afišas, ielūgumi, reklāmlapiņas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atklāšanas pasākums</w:t>
            </w:r>
          </w:p>
        </w:tc>
        <w:tc>
          <w:tcPr>
            <w:tcW w:w="4453" w:type="dxa"/>
          </w:tcPr>
          <w:p w:rsidR="00D23A05" w:rsidRPr="00D23A05" w:rsidRDefault="00D23A05" w:rsidP="00D23A05">
            <w:pPr>
              <w:rPr>
                <w:rFonts w:ascii="Calibri" w:eastAsia="Calibri" w:hAnsi="Calibri"/>
                <w:sz w:val="22"/>
                <w:szCs w:val="22"/>
                <w:lang w:eastAsia="en-US"/>
              </w:rPr>
            </w:pPr>
            <w:proofErr w:type="gramStart"/>
            <w:r w:rsidRPr="00D23A05">
              <w:rPr>
                <w:rFonts w:ascii="Calibri" w:eastAsia="Calibri" w:hAnsi="Calibri"/>
                <w:sz w:val="22"/>
                <w:szCs w:val="22"/>
                <w:lang w:eastAsia="en-US"/>
              </w:rPr>
              <w:t>Muzikālas priekšnesums</w:t>
            </w:r>
            <w:proofErr w:type="gramEnd"/>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Autora dalība pasākumā</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pasākuma tehniskais nodrošinājuma noma</w:t>
            </w:r>
          </w:p>
          <w:p w:rsidR="00D23A05" w:rsidRPr="00D23A05" w:rsidRDefault="00D23A05" w:rsidP="00D23A05">
            <w:pPr>
              <w:rPr>
                <w:rFonts w:ascii="Calibri" w:eastAsia="Calibri" w:hAnsi="Calibri"/>
                <w:sz w:val="22"/>
                <w:szCs w:val="22"/>
                <w:lang w:eastAsia="en-US"/>
              </w:rPr>
            </w:pPr>
          </w:p>
        </w:tc>
      </w:tr>
      <w:tr w:rsidR="00D23A05" w:rsidRPr="00D23A05" w:rsidTr="00D23A05">
        <w:trPr>
          <w:trHeight w:val="148"/>
        </w:trPr>
        <w:tc>
          <w:tcPr>
            <w:tcW w:w="9355" w:type="dxa"/>
            <w:gridSpan w:val="3"/>
          </w:tcPr>
          <w:p w:rsidR="00D23A05" w:rsidRPr="00D23A05" w:rsidRDefault="00D23A05" w:rsidP="00D23A05">
            <w:pPr>
              <w:jc w:val="center"/>
              <w:rPr>
                <w:rFonts w:ascii="Calibri" w:eastAsia="Calibri" w:hAnsi="Calibri"/>
                <w:b/>
                <w:sz w:val="22"/>
                <w:szCs w:val="22"/>
                <w:lang w:eastAsia="en-US"/>
              </w:rPr>
            </w:pPr>
            <w:r w:rsidRPr="00D23A05">
              <w:rPr>
                <w:rFonts w:ascii="Calibri" w:eastAsia="Calibri" w:hAnsi="Calibri"/>
                <w:b/>
                <w:sz w:val="22"/>
                <w:szCs w:val="22"/>
                <w:lang w:eastAsia="en-US"/>
              </w:rPr>
              <w:t>Foto izstādes – 4</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Izstāžu iekārtošana, montāža, demontāža</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iekārtošanu veic dienu pirms izstādes atklāšanas. Izstādes iekārtošanas vadību veic izstāžu kurators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 xml:space="preserve">Izstādes noformēšana </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Uz atklāšanas brīdi izstādei jābūt noformētai, ar darba anotācijām un darba nosaukumiem, ietverot arī darba izmēru, materiālu un darba izpildes tehniku.</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Darbu eksponēšanai nepieciešamie palīglīdzekļi un tehniskais nodrošinājums.</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Nepieciešamo palīglīdzekļu un tehniskā nodrošinājuma noma</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izdales un informatīvie</w:t>
            </w:r>
            <w:proofErr w:type="gramStart"/>
            <w:r w:rsidRPr="00D23A05">
              <w:rPr>
                <w:rFonts w:ascii="Calibri" w:eastAsia="Calibri" w:hAnsi="Calibri"/>
                <w:sz w:val="22"/>
                <w:szCs w:val="22"/>
                <w:lang w:eastAsia="en-US"/>
              </w:rPr>
              <w:t xml:space="preserve">  </w:t>
            </w:r>
            <w:proofErr w:type="gramEnd"/>
            <w:r w:rsidRPr="00D23A05">
              <w:rPr>
                <w:rFonts w:ascii="Calibri" w:eastAsia="Calibri" w:hAnsi="Calibri"/>
                <w:sz w:val="22"/>
                <w:szCs w:val="22"/>
                <w:lang w:eastAsia="en-US"/>
              </w:rPr>
              <w:t>materiāli</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Afišas, ielūgumi, reklāmlapiņas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atklāšanas pasākums</w:t>
            </w:r>
          </w:p>
        </w:tc>
        <w:tc>
          <w:tcPr>
            <w:tcW w:w="4453" w:type="dxa"/>
          </w:tcPr>
          <w:p w:rsidR="00D23A05" w:rsidRPr="00D23A05" w:rsidRDefault="00D23A05" w:rsidP="00D23A05">
            <w:pPr>
              <w:rPr>
                <w:rFonts w:ascii="Calibri" w:eastAsia="Calibri" w:hAnsi="Calibri"/>
                <w:sz w:val="22"/>
                <w:szCs w:val="22"/>
                <w:lang w:eastAsia="en-US"/>
              </w:rPr>
            </w:pPr>
            <w:proofErr w:type="gramStart"/>
            <w:r w:rsidRPr="00D23A05">
              <w:rPr>
                <w:rFonts w:ascii="Calibri" w:eastAsia="Calibri" w:hAnsi="Calibri"/>
                <w:sz w:val="22"/>
                <w:szCs w:val="22"/>
                <w:lang w:eastAsia="en-US"/>
              </w:rPr>
              <w:t>Muzikālas priekšnesums</w:t>
            </w:r>
            <w:proofErr w:type="gramEnd"/>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Autora dalība pasākumā</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pasākuma tehniskais nodrošinājuma noma</w:t>
            </w:r>
          </w:p>
          <w:p w:rsidR="00D23A05" w:rsidRPr="00D23A05" w:rsidRDefault="00D23A05" w:rsidP="00D23A05">
            <w:pPr>
              <w:rPr>
                <w:rFonts w:ascii="Calibri" w:eastAsia="Calibri" w:hAnsi="Calibri"/>
                <w:sz w:val="22"/>
                <w:szCs w:val="22"/>
                <w:lang w:eastAsia="en-US"/>
              </w:rPr>
            </w:pPr>
          </w:p>
        </w:tc>
      </w:tr>
      <w:tr w:rsidR="00D23A05" w:rsidRPr="00D23A05" w:rsidTr="00D23A05">
        <w:trPr>
          <w:trHeight w:val="148"/>
        </w:trPr>
        <w:tc>
          <w:tcPr>
            <w:tcW w:w="9355" w:type="dxa"/>
            <w:gridSpan w:val="3"/>
          </w:tcPr>
          <w:p w:rsidR="00D23A05" w:rsidRPr="00D23A05" w:rsidRDefault="00D23A05" w:rsidP="00D23A05">
            <w:pPr>
              <w:jc w:val="center"/>
              <w:rPr>
                <w:rFonts w:ascii="Calibri" w:eastAsia="Calibri" w:hAnsi="Calibri"/>
                <w:b/>
                <w:sz w:val="22"/>
                <w:szCs w:val="22"/>
                <w:lang w:eastAsia="en-US"/>
              </w:rPr>
            </w:pPr>
            <w:r w:rsidRPr="00D23A05">
              <w:rPr>
                <w:rFonts w:ascii="Calibri" w:eastAsia="Calibri" w:hAnsi="Calibri"/>
                <w:b/>
                <w:sz w:val="22"/>
                <w:szCs w:val="22"/>
                <w:lang w:eastAsia="en-US"/>
              </w:rPr>
              <w:t>Ar literatūras procesu vai bibliotēkas darbību saistītas izstādes - 2</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Izstāžu iekārtošana, montāža, demontāža</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iekārtošanu veic dienu pirms izstādes atklāšanas. Izstādes iekārtošanas vadību veic izstāžu kurators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 xml:space="preserve">Izstādes noformēšana </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 xml:space="preserve">Uz atklāšanas brīdi izstādei jābūt noformētai, ar darba anotācijām un darba nosaukumiem, </w:t>
            </w:r>
          </w:p>
        </w:tc>
      </w:tr>
      <w:tr w:rsidR="00D23A05" w:rsidRPr="00D23A05" w:rsidTr="00D23A05">
        <w:trPr>
          <w:trHeight w:val="559"/>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Darbu eksponēšanai nepieciešamie palīglīdzekļi un tehniskais nodrošinājums.</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Nepieciešamo palīglīdzekļu un tehniskā nodrošinājuma noma</w:t>
            </w:r>
          </w:p>
        </w:tc>
      </w:tr>
      <w:tr w:rsidR="00D23A05" w:rsidRPr="00D23A05" w:rsidTr="00D23A05">
        <w:trPr>
          <w:trHeight w:val="559"/>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izdales un informatīvie</w:t>
            </w:r>
            <w:proofErr w:type="gramStart"/>
            <w:r w:rsidRPr="00D23A05">
              <w:rPr>
                <w:rFonts w:ascii="Calibri" w:eastAsia="Calibri" w:hAnsi="Calibri"/>
                <w:sz w:val="22"/>
                <w:szCs w:val="22"/>
                <w:lang w:eastAsia="en-US"/>
              </w:rPr>
              <w:t xml:space="preserve">  </w:t>
            </w:r>
            <w:proofErr w:type="gramEnd"/>
            <w:r w:rsidRPr="00D23A05">
              <w:rPr>
                <w:rFonts w:ascii="Calibri" w:eastAsia="Calibri" w:hAnsi="Calibri"/>
                <w:sz w:val="22"/>
                <w:szCs w:val="22"/>
                <w:lang w:eastAsia="en-US"/>
              </w:rPr>
              <w:t>materiāli</w:t>
            </w:r>
          </w:p>
        </w:tc>
        <w:tc>
          <w:tcPr>
            <w:tcW w:w="4453"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Afišas, ielūgumi, reklāmlapiņas</w:t>
            </w:r>
          </w:p>
        </w:tc>
      </w:tr>
      <w:tr w:rsidR="00D23A05" w:rsidRPr="00D23A05" w:rsidTr="00D23A05">
        <w:trPr>
          <w:trHeight w:val="148"/>
        </w:trPr>
        <w:tc>
          <w:tcPr>
            <w:tcW w:w="1007" w:type="dxa"/>
          </w:tcPr>
          <w:p w:rsidR="00D23A05" w:rsidRPr="00D23A05" w:rsidRDefault="00D23A05" w:rsidP="00D23A05">
            <w:pPr>
              <w:rPr>
                <w:rFonts w:ascii="Calibri" w:eastAsia="Calibri" w:hAnsi="Calibri"/>
                <w:sz w:val="22"/>
                <w:szCs w:val="22"/>
                <w:lang w:eastAsia="en-US"/>
              </w:rPr>
            </w:pPr>
          </w:p>
        </w:tc>
        <w:tc>
          <w:tcPr>
            <w:tcW w:w="3895" w:type="dxa"/>
          </w:tcPr>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atklāšanas pasākums</w:t>
            </w:r>
          </w:p>
        </w:tc>
        <w:tc>
          <w:tcPr>
            <w:tcW w:w="4453" w:type="dxa"/>
          </w:tcPr>
          <w:p w:rsidR="00D23A05" w:rsidRPr="00D23A05" w:rsidRDefault="00D23A05" w:rsidP="00D23A05">
            <w:pPr>
              <w:rPr>
                <w:rFonts w:ascii="Calibri" w:eastAsia="Calibri" w:hAnsi="Calibri"/>
                <w:sz w:val="22"/>
                <w:szCs w:val="22"/>
                <w:lang w:eastAsia="en-US"/>
              </w:rPr>
            </w:pPr>
            <w:proofErr w:type="gramStart"/>
            <w:r w:rsidRPr="00D23A05">
              <w:rPr>
                <w:rFonts w:ascii="Calibri" w:eastAsia="Calibri" w:hAnsi="Calibri"/>
                <w:sz w:val="22"/>
                <w:szCs w:val="22"/>
                <w:lang w:eastAsia="en-US"/>
              </w:rPr>
              <w:t>Muzikālas priekšnesums</w:t>
            </w:r>
            <w:proofErr w:type="gramEnd"/>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Autora dalība pasākumā</w:t>
            </w:r>
          </w:p>
          <w:p w:rsidR="00D23A05" w:rsidRPr="00D23A05" w:rsidRDefault="00D23A05" w:rsidP="00D23A05">
            <w:pPr>
              <w:rPr>
                <w:rFonts w:ascii="Calibri" w:eastAsia="Calibri" w:hAnsi="Calibri"/>
                <w:sz w:val="22"/>
                <w:szCs w:val="22"/>
                <w:lang w:eastAsia="en-US"/>
              </w:rPr>
            </w:pPr>
            <w:r w:rsidRPr="00D23A05">
              <w:rPr>
                <w:rFonts w:ascii="Calibri" w:eastAsia="Calibri" w:hAnsi="Calibri"/>
                <w:sz w:val="22"/>
                <w:szCs w:val="22"/>
                <w:lang w:eastAsia="en-US"/>
              </w:rPr>
              <w:t>Izstādes pasākuma tehniskais nodrošinājuma noma</w:t>
            </w:r>
          </w:p>
          <w:p w:rsidR="00D23A05" w:rsidRPr="00D23A05" w:rsidRDefault="00D23A05" w:rsidP="00D23A05">
            <w:pPr>
              <w:rPr>
                <w:rFonts w:ascii="Calibri" w:eastAsia="Calibri" w:hAnsi="Calibri"/>
                <w:sz w:val="22"/>
                <w:szCs w:val="22"/>
                <w:lang w:eastAsia="en-US"/>
              </w:rPr>
            </w:pPr>
          </w:p>
        </w:tc>
      </w:tr>
    </w:tbl>
    <w:p w:rsidR="00D23A05" w:rsidRPr="00D23A05" w:rsidRDefault="00D23A05" w:rsidP="00D23A05">
      <w:pPr>
        <w:spacing w:after="160" w:line="259" w:lineRule="auto"/>
        <w:rPr>
          <w:rFonts w:ascii="Calibri" w:eastAsia="Calibri" w:hAnsi="Calibri"/>
          <w:sz w:val="22"/>
          <w:szCs w:val="22"/>
          <w:lang w:eastAsia="en-US"/>
        </w:rPr>
      </w:pPr>
    </w:p>
    <w:p w:rsidR="00D23A05" w:rsidRPr="00B46E2E" w:rsidRDefault="00D23A05" w:rsidP="00285217">
      <w:pPr>
        <w:ind w:firstLine="4680"/>
        <w:jc w:val="right"/>
        <w:rPr>
          <w:b/>
        </w:rPr>
      </w:pPr>
    </w:p>
    <w:sectPr w:rsidR="00D23A05" w:rsidRPr="00B46E2E"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5D34"/>
    <w:rsid w:val="000579C9"/>
    <w:rsid w:val="0009155D"/>
    <w:rsid w:val="00161788"/>
    <w:rsid w:val="001645CC"/>
    <w:rsid w:val="001822B7"/>
    <w:rsid w:val="001B6957"/>
    <w:rsid w:val="001E3084"/>
    <w:rsid w:val="00213BD6"/>
    <w:rsid w:val="00235889"/>
    <w:rsid w:val="00246616"/>
    <w:rsid w:val="00274BE9"/>
    <w:rsid w:val="00285217"/>
    <w:rsid w:val="002908D7"/>
    <w:rsid w:val="003076D9"/>
    <w:rsid w:val="004A1D0F"/>
    <w:rsid w:val="004B275C"/>
    <w:rsid w:val="006F5C83"/>
    <w:rsid w:val="00724C2F"/>
    <w:rsid w:val="007375EA"/>
    <w:rsid w:val="00766270"/>
    <w:rsid w:val="007E10B8"/>
    <w:rsid w:val="00811F8B"/>
    <w:rsid w:val="00857465"/>
    <w:rsid w:val="009D17A5"/>
    <w:rsid w:val="009F1FF3"/>
    <w:rsid w:val="00A07BF5"/>
    <w:rsid w:val="00A54E41"/>
    <w:rsid w:val="00AE21E5"/>
    <w:rsid w:val="00AF0BDD"/>
    <w:rsid w:val="00B46E2E"/>
    <w:rsid w:val="00B81F72"/>
    <w:rsid w:val="00C22E30"/>
    <w:rsid w:val="00D2390F"/>
    <w:rsid w:val="00D23A05"/>
    <w:rsid w:val="00D37049"/>
    <w:rsid w:val="00D75922"/>
    <w:rsid w:val="00DD5746"/>
    <w:rsid w:val="00EA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ima.ostele@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12551</Words>
  <Characters>7155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13</cp:revision>
  <cp:lastPrinted>2014-09-10T11:21:00Z</cp:lastPrinted>
  <dcterms:created xsi:type="dcterms:W3CDTF">2014-09-19T06:27:00Z</dcterms:created>
  <dcterms:modified xsi:type="dcterms:W3CDTF">2014-10-17T11:15:00Z</dcterms:modified>
</cp:coreProperties>
</file>